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69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E162AB" w:rsidRPr="006B78FA" w:rsidTr="00C97DD0">
        <w:tc>
          <w:tcPr>
            <w:tcW w:w="2093" w:type="dxa"/>
          </w:tcPr>
          <w:p w:rsidR="00E162AB" w:rsidRPr="00A3765C" w:rsidRDefault="00E162AB" w:rsidP="00C97DD0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</w:p>
          <w:p w:rsidR="00E162AB" w:rsidRPr="00D0614D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</w:p>
        </w:tc>
      </w:tr>
    </w:tbl>
    <w:p w:rsidR="00E162AB" w:rsidRPr="00916409" w:rsidRDefault="00E162AB" w:rsidP="00E162AB">
      <w:pPr>
        <w:spacing w:after="0"/>
        <w:rPr>
          <w:vanish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E162AB" w:rsidTr="00C97DD0">
        <w:tc>
          <w:tcPr>
            <w:tcW w:w="2093" w:type="dxa"/>
            <w:hideMark/>
          </w:tcPr>
          <w:p w:rsidR="00E162AB" w:rsidRDefault="00E162AB" w:rsidP="00C97DD0">
            <w:pPr>
              <w:pStyle w:val="CorpodetextoMPC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Processo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 nº:</w:t>
            </w:r>
          </w:p>
        </w:tc>
        <w:tc>
          <w:tcPr>
            <w:tcW w:w="7229" w:type="dxa"/>
            <w:vAlign w:val="center"/>
          </w:tcPr>
          <w:p w:rsidR="00E162AB" w:rsidRDefault="004200E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  <w:r>
              <w:rPr>
                <w:rFonts w:ascii="Times New Roman" w:hAnsi="Times New Roman"/>
                <w:sz w:val="22"/>
                <w:szCs w:val="20"/>
                <w:lang w:val="pt-BR"/>
              </w:rPr>
              <w:t>TC- 2961</w:t>
            </w:r>
            <w:r w:rsidR="00E162AB">
              <w:rPr>
                <w:rFonts w:ascii="Times New Roman" w:hAnsi="Times New Roman"/>
                <w:sz w:val="22"/>
                <w:szCs w:val="20"/>
                <w:lang w:val="pt-BR"/>
              </w:rPr>
              <w:t>/026/1</w:t>
            </w:r>
            <w:r>
              <w:rPr>
                <w:rFonts w:ascii="Times New Roman" w:hAnsi="Times New Roman"/>
                <w:sz w:val="22"/>
                <w:szCs w:val="20"/>
                <w:lang w:val="pt-BR"/>
              </w:rPr>
              <w:t>4</w:t>
            </w:r>
          </w:p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</w:p>
        </w:tc>
      </w:tr>
      <w:tr w:rsidR="00E162AB" w:rsidTr="00C97DD0">
        <w:tc>
          <w:tcPr>
            <w:tcW w:w="2093" w:type="dxa"/>
            <w:hideMark/>
          </w:tcPr>
          <w:p w:rsidR="00E162AB" w:rsidRDefault="00E162AB" w:rsidP="00C97DD0">
            <w:pPr>
              <w:pStyle w:val="CorpodetextoMPC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Órgão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  <w:r>
              <w:rPr>
                <w:rFonts w:ascii="Times New Roman" w:hAnsi="Times New Roman"/>
                <w:sz w:val="22"/>
                <w:szCs w:val="20"/>
                <w:lang w:val="pt-BR"/>
              </w:rPr>
              <w:t>Câmara Municipal de Tabapuã</w:t>
            </w:r>
          </w:p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</w:p>
        </w:tc>
      </w:tr>
      <w:tr w:rsidR="00E162AB" w:rsidTr="00C97DD0">
        <w:tc>
          <w:tcPr>
            <w:tcW w:w="2093" w:type="dxa"/>
            <w:hideMark/>
          </w:tcPr>
          <w:p w:rsidR="00E162AB" w:rsidRDefault="00E162AB" w:rsidP="00C97DD0">
            <w:pPr>
              <w:pStyle w:val="CorpodetextoMPC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Interessado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>:</w:t>
            </w:r>
          </w:p>
        </w:tc>
        <w:tc>
          <w:tcPr>
            <w:tcW w:w="7229" w:type="dxa"/>
            <w:vAlign w:val="center"/>
          </w:tcPr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  <w:r>
              <w:rPr>
                <w:rFonts w:ascii="Times New Roman" w:hAnsi="Times New Roman"/>
                <w:sz w:val="22"/>
                <w:szCs w:val="20"/>
                <w:lang w:val="pt-BR"/>
              </w:rPr>
              <w:t xml:space="preserve">José Roberto </w:t>
            </w:r>
            <w:proofErr w:type="spellStart"/>
            <w:r>
              <w:rPr>
                <w:rFonts w:ascii="Times New Roman" w:hAnsi="Times New Roman"/>
                <w:sz w:val="22"/>
                <w:szCs w:val="20"/>
                <w:lang w:val="pt-BR"/>
              </w:rPr>
              <w:t>Marcato</w:t>
            </w:r>
            <w:proofErr w:type="spellEnd"/>
            <w:r>
              <w:rPr>
                <w:rFonts w:ascii="Times New Roman" w:hAnsi="Times New Roman"/>
                <w:sz w:val="22"/>
                <w:szCs w:val="20"/>
                <w:lang w:val="pt-BR"/>
              </w:rPr>
              <w:t xml:space="preserve"> - Presidente</w:t>
            </w:r>
          </w:p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</w:p>
        </w:tc>
      </w:tr>
      <w:tr w:rsidR="00E162AB" w:rsidTr="00C97DD0">
        <w:tc>
          <w:tcPr>
            <w:tcW w:w="2093" w:type="dxa"/>
            <w:hideMark/>
          </w:tcPr>
          <w:p w:rsidR="00E162AB" w:rsidRPr="009B0682" w:rsidRDefault="00E162AB" w:rsidP="00C97DD0">
            <w:pPr>
              <w:pStyle w:val="CorpodetextoMPC"/>
              <w:spacing w:before="0" w:after="0" w:line="240" w:lineRule="auto"/>
              <w:ind w:firstLine="0"/>
              <w:rPr>
                <w:rFonts w:ascii="Times New Roman" w:hAnsi="Times New Roman"/>
                <w:b/>
                <w:sz w:val="22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Matéria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0"/>
              </w:rPr>
              <w:t>exame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0"/>
              </w:rPr>
              <w:t>:</w:t>
            </w:r>
          </w:p>
        </w:tc>
        <w:tc>
          <w:tcPr>
            <w:tcW w:w="7229" w:type="dxa"/>
            <w:vAlign w:val="center"/>
            <w:hideMark/>
          </w:tcPr>
          <w:p w:rsidR="00E162AB" w:rsidRDefault="00E162AB" w:rsidP="00C97DD0">
            <w:pPr>
              <w:pStyle w:val="CorpodetextoMPC"/>
              <w:spacing w:before="0" w:after="0" w:line="240" w:lineRule="auto"/>
              <w:ind w:left="34" w:firstLine="0"/>
              <w:rPr>
                <w:rFonts w:ascii="Times New Roman" w:hAnsi="Times New Roman"/>
                <w:sz w:val="22"/>
                <w:szCs w:val="20"/>
                <w:lang w:val="pt-BR"/>
              </w:rPr>
            </w:pPr>
            <w:r>
              <w:rPr>
                <w:rFonts w:ascii="Times New Roman" w:hAnsi="Times New Roman"/>
                <w:sz w:val="22"/>
                <w:szCs w:val="20"/>
                <w:lang w:val="pt-BR"/>
              </w:rPr>
              <w:t>Contas Anuais -</w:t>
            </w:r>
            <w:r w:rsidR="004200EB">
              <w:rPr>
                <w:rFonts w:ascii="Times New Roman" w:hAnsi="Times New Roman"/>
                <w:sz w:val="22"/>
                <w:szCs w:val="20"/>
                <w:lang w:val="pt-BR"/>
              </w:rPr>
              <w:t xml:space="preserve"> E</w:t>
            </w:r>
            <w:bookmarkStart w:id="0" w:name="_GoBack"/>
            <w:bookmarkEnd w:id="0"/>
            <w:r w:rsidR="004200EB">
              <w:rPr>
                <w:rFonts w:ascii="Times New Roman" w:hAnsi="Times New Roman"/>
                <w:sz w:val="22"/>
                <w:szCs w:val="20"/>
                <w:lang w:val="pt-BR"/>
              </w:rPr>
              <w:t>xercício de 2014</w:t>
            </w:r>
          </w:p>
        </w:tc>
      </w:tr>
    </w:tbl>
    <w:p w:rsidR="00E162AB" w:rsidRDefault="00E162AB" w:rsidP="00E162AB">
      <w:pPr>
        <w:pStyle w:val="CorpodetextoMPC"/>
        <w:rPr>
          <w:rFonts w:ascii="Times New Roman" w:hAnsi="Times New Roman"/>
          <w:lang w:val="pt-BR"/>
        </w:rPr>
      </w:pPr>
    </w:p>
    <w:p w:rsidR="00E162AB" w:rsidRPr="009E4924" w:rsidRDefault="00E162AB" w:rsidP="00E162AB">
      <w:pPr>
        <w:ind w:firstLine="1134"/>
        <w:rPr>
          <w:rFonts w:ascii="Times New Roman" w:hAnsi="Times New Roman"/>
          <w:b/>
          <w:sz w:val="24"/>
          <w:szCs w:val="24"/>
        </w:rPr>
      </w:pPr>
      <w:r w:rsidRPr="009E4924">
        <w:rPr>
          <w:rFonts w:ascii="Times New Roman" w:hAnsi="Times New Roman"/>
          <w:b/>
          <w:sz w:val="24"/>
          <w:szCs w:val="24"/>
        </w:rPr>
        <w:t>Excelentíssimo Senhor Conselheiro Relator,</w:t>
      </w:r>
    </w:p>
    <w:p w:rsidR="00E162AB" w:rsidRDefault="00E162AB" w:rsidP="00E162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040D42" w:rsidRDefault="00E162AB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Ministério Público de Contas do Estado de São Paulo, na condição de </w:t>
      </w:r>
      <w:r>
        <w:rPr>
          <w:rFonts w:ascii="Times New Roman" w:hAnsi="Times New Roman"/>
          <w:i/>
          <w:sz w:val="24"/>
          <w:szCs w:val="24"/>
        </w:rPr>
        <w:t>custos legis</w:t>
      </w:r>
      <w:r>
        <w:rPr>
          <w:rFonts w:ascii="Times New Roman" w:hAnsi="Times New Roman"/>
          <w:sz w:val="24"/>
          <w:szCs w:val="24"/>
        </w:rPr>
        <w:t>, apresenta parecer, com base no relatório de fiscalização acostado aos autos</w:t>
      </w:r>
      <w:r w:rsidR="00B56C80">
        <w:rPr>
          <w:rFonts w:ascii="Times New Roman" w:hAnsi="Times New Roman"/>
          <w:sz w:val="24"/>
          <w:szCs w:val="24"/>
        </w:rPr>
        <w:t>,</w:t>
      </w:r>
      <w:r w:rsidR="00040D42">
        <w:rPr>
          <w:rFonts w:ascii="Times New Roman" w:hAnsi="Times New Roman"/>
          <w:sz w:val="24"/>
          <w:szCs w:val="24"/>
        </w:rPr>
        <w:t xml:space="preserve"> do contraditório realizado</w:t>
      </w:r>
      <w:r w:rsidR="00B56C80">
        <w:rPr>
          <w:rFonts w:ascii="Times New Roman" w:hAnsi="Times New Roman"/>
          <w:sz w:val="24"/>
          <w:szCs w:val="24"/>
        </w:rPr>
        <w:t xml:space="preserve"> e das colocações da ATJ</w:t>
      </w:r>
      <w:r>
        <w:rPr>
          <w:rFonts w:ascii="Times New Roman" w:hAnsi="Times New Roman"/>
          <w:sz w:val="24"/>
          <w:szCs w:val="24"/>
        </w:rPr>
        <w:t>, sobre as contas da Câmara Municipal de Tabapuã</w:t>
      </w:r>
      <w:r w:rsidR="00040D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D42" w:rsidRDefault="00040D42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84FA9" w:rsidRDefault="00B56C80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Inicialmente, cabe destacar que a não realização de audiência pública na fase de aprovação dos planos orçamentários</w:t>
      </w:r>
      <w:r w:rsidR="0026799C">
        <w:rPr>
          <w:rFonts w:ascii="Times New Roman" w:hAnsi="Times New Roman"/>
          <w:sz w:val="24"/>
          <w:szCs w:val="24"/>
        </w:rPr>
        <w:t xml:space="preserve"> (PPA, LDO e LOA)</w:t>
      </w:r>
      <w:r>
        <w:rPr>
          <w:rFonts w:ascii="Times New Roman" w:hAnsi="Times New Roman"/>
          <w:sz w:val="24"/>
          <w:szCs w:val="24"/>
        </w:rPr>
        <w:t xml:space="preserve"> revela, de plano, cenário de patente ilegalidade, da qual a argumentação promovida pela origem não se fundamenta</w:t>
      </w:r>
      <w:r w:rsidR="00684FA9">
        <w:rPr>
          <w:rFonts w:ascii="Times New Roman" w:hAnsi="Times New Roman"/>
          <w:sz w:val="24"/>
          <w:szCs w:val="24"/>
        </w:rPr>
        <w:t xml:space="preserve">, eis que descumprido o disposto no artigo 48, § único, I, da Lei de Responsabilidade Fiscal. </w:t>
      </w:r>
    </w:p>
    <w:p w:rsidR="00684FA9" w:rsidRDefault="00684FA9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66C05" w:rsidRDefault="00684FA9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Quanto ao pagamento de remunerações sem a observância do teto constitucional a </w:t>
      </w:r>
      <w:proofErr w:type="gramStart"/>
      <w:r>
        <w:rPr>
          <w:rFonts w:ascii="Times New Roman" w:hAnsi="Times New Roman"/>
          <w:sz w:val="24"/>
          <w:szCs w:val="24"/>
        </w:rPr>
        <w:t>Edil</w:t>
      </w:r>
      <w:proofErr w:type="gramEnd"/>
      <w:r>
        <w:rPr>
          <w:rFonts w:ascii="Times New Roman" w:hAnsi="Times New Roman"/>
          <w:sz w:val="24"/>
          <w:szCs w:val="24"/>
        </w:rPr>
        <w:t xml:space="preserve"> Gilmar José de Carvalho, não se pode olvidar</w:t>
      </w:r>
      <w:r w:rsidR="00E66C05">
        <w:rPr>
          <w:rFonts w:ascii="Times New Roman" w:hAnsi="Times New Roman"/>
          <w:sz w:val="24"/>
          <w:szCs w:val="24"/>
        </w:rPr>
        <w:t xml:space="preserve"> que o comando legal imposto pelos incisos II e XI, do artigo 37 da Constituição da República não deixa palavras em vão. A existência de </w:t>
      </w:r>
      <w:r w:rsidR="00E66C05" w:rsidRPr="00E66C05">
        <w:rPr>
          <w:rFonts w:ascii="Times New Roman" w:hAnsi="Times New Roman"/>
          <w:b/>
          <w:sz w:val="24"/>
          <w:szCs w:val="24"/>
          <w:u w:val="single"/>
        </w:rPr>
        <w:t>um único servidor efetivo</w:t>
      </w:r>
      <w:r w:rsidR="00E66C05">
        <w:rPr>
          <w:rFonts w:ascii="Times New Roman" w:hAnsi="Times New Roman"/>
          <w:sz w:val="24"/>
          <w:szCs w:val="24"/>
        </w:rPr>
        <w:t xml:space="preserve"> na Câmara revela omissão com relação à promoção de concurso público para provimento de cargos na edilidade, o que gera, consequentemente, a acumulação de várias funções por uma só pessoa, o que viola o Princípio da Eficiência.</w:t>
      </w:r>
    </w:p>
    <w:p w:rsidR="00E66C05" w:rsidRDefault="00E66C05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66C05" w:rsidRDefault="00E66C05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do mais, do ponto de vista fático-jurídico, é impossível que a aplicação da lei sobre a revisão geral anual por parte do Prefeito</w:t>
      </w:r>
      <w:r w:rsidR="00347E1E">
        <w:rPr>
          <w:rFonts w:ascii="Times New Roman" w:hAnsi="Times New Roman"/>
          <w:sz w:val="24"/>
          <w:szCs w:val="24"/>
        </w:rPr>
        <w:t xml:space="preserve"> alterasse seu subsídio no montante de R$ 16.114,51, para o devido enquadramento do servidor ao constitucionalmente disposto.</w:t>
      </w:r>
    </w:p>
    <w:p w:rsidR="00347E1E" w:rsidRDefault="00347E1E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7E1E" w:rsidRDefault="00347E1E" w:rsidP="00347E1E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 Superior Tribunal de Justiça já consolidou entendimento nesse sentido:</w:t>
      </w:r>
    </w:p>
    <w:p w:rsidR="00347E1E" w:rsidRPr="008F6225" w:rsidRDefault="00347E1E" w:rsidP="00347E1E">
      <w:pPr>
        <w:pStyle w:val="NormalWeb"/>
        <w:shd w:val="clear" w:color="auto" w:fill="FFFFFF"/>
        <w:spacing w:before="375" w:beforeAutospacing="0" w:after="0" w:afterAutospacing="0" w:line="360" w:lineRule="auto"/>
        <w:ind w:left="2130" w:hanging="3"/>
        <w:jc w:val="both"/>
        <w:rPr>
          <w:i/>
          <w:sz w:val="24"/>
        </w:rPr>
      </w:pPr>
      <w:r w:rsidRPr="008F6225">
        <w:rPr>
          <w:i/>
          <w:sz w:val="24"/>
        </w:rPr>
        <w:t>RECURSO ORDINÁRIO. MANDADO DE SEGURANÇA. POLICIAL MILITAR INATIVO. PENSÃO. TETO CONSTITUCIONAL. NORMA DE EFICÁCIA PLENA. DIREITO ADQUIRIDO. INEXISTÊNCIA. VANTAGENS PESSOAIS. SUJEIÇÃO.</w:t>
      </w:r>
    </w:p>
    <w:p w:rsidR="00347E1E" w:rsidRPr="00347E1E" w:rsidRDefault="00347E1E" w:rsidP="00347E1E">
      <w:pPr>
        <w:pStyle w:val="NormalWeb"/>
        <w:shd w:val="clear" w:color="auto" w:fill="FFFFFF"/>
        <w:spacing w:before="0" w:beforeAutospacing="0" w:after="0" w:afterAutospacing="0" w:line="360" w:lineRule="auto"/>
        <w:ind w:left="2130" w:hanging="429"/>
        <w:jc w:val="both"/>
        <w:rPr>
          <w:b/>
          <w:i/>
          <w:sz w:val="24"/>
          <w:u w:val="single"/>
        </w:rPr>
      </w:pPr>
      <w:r w:rsidRPr="008F6225">
        <w:rPr>
          <w:i/>
          <w:sz w:val="24"/>
        </w:rPr>
        <w:t>1. Está assentado na jurisprudência do STJ o seguinte entendimento: (a) o inciso</w:t>
      </w:r>
      <w:r w:rsidRPr="008F6225">
        <w:rPr>
          <w:rStyle w:val="apple-converted-space"/>
          <w:i/>
          <w:sz w:val="24"/>
        </w:rPr>
        <w:t> </w:t>
      </w:r>
      <w:hyperlink r:id="rId7" w:tooltip="Inciso XI do Artigo 37 da Constituição Federal de 1988" w:history="1">
        <w:r w:rsidRPr="008F6225">
          <w:rPr>
            <w:rStyle w:val="Hyperlink"/>
            <w:i/>
            <w:sz w:val="24"/>
            <w:bdr w:val="none" w:sz="0" w:space="0" w:color="auto" w:frame="1"/>
          </w:rPr>
          <w:t>XI</w:t>
        </w:r>
      </w:hyperlink>
      <w:r>
        <w:rPr>
          <w:rStyle w:val="Hyperlink"/>
          <w:i/>
          <w:sz w:val="24"/>
          <w:bdr w:val="none" w:sz="0" w:space="0" w:color="auto" w:frame="1"/>
        </w:rPr>
        <w:t xml:space="preserve"> </w:t>
      </w:r>
      <w:r w:rsidRPr="008F6225">
        <w:rPr>
          <w:i/>
          <w:sz w:val="24"/>
        </w:rPr>
        <w:t>do art.</w:t>
      </w:r>
      <w:r w:rsidRPr="008F6225">
        <w:rPr>
          <w:rStyle w:val="apple-converted-space"/>
          <w:i/>
          <w:sz w:val="24"/>
        </w:rPr>
        <w:t> </w:t>
      </w:r>
      <w:hyperlink r:id="rId8" w:tooltip="Artigo 37 da Constituição Federal de 1988" w:history="1">
        <w:r w:rsidRPr="008F6225">
          <w:rPr>
            <w:rStyle w:val="Hyperlink"/>
            <w:i/>
            <w:sz w:val="24"/>
            <w:bdr w:val="none" w:sz="0" w:space="0" w:color="auto" w:frame="1"/>
          </w:rPr>
          <w:t>37</w:t>
        </w:r>
      </w:hyperlink>
      <w:r w:rsidRPr="008F6225">
        <w:rPr>
          <w:rStyle w:val="apple-converted-space"/>
          <w:i/>
          <w:sz w:val="24"/>
        </w:rPr>
        <w:t> </w:t>
      </w:r>
      <w:r w:rsidRPr="008F6225">
        <w:rPr>
          <w:i/>
          <w:sz w:val="24"/>
        </w:rPr>
        <w:t>da</w:t>
      </w:r>
      <w:r w:rsidRPr="008F6225">
        <w:rPr>
          <w:rStyle w:val="apple-converted-space"/>
          <w:i/>
          <w:sz w:val="24"/>
        </w:rPr>
        <w:t> </w:t>
      </w:r>
      <w:hyperlink r:id="rId9" w:tooltip="CONSTITUIÇÃO DA REPÚBLICA FEDERATIVA DO BRASIL DE 1988" w:history="1">
        <w:r w:rsidRPr="008F6225">
          <w:rPr>
            <w:rStyle w:val="Hyperlink"/>
            <w:i/>
            <w:sz w:val="24"/>
            <w:bdr w:val="none" w:sz="0" w:space="0" w:color="auto" w:frame="1"/>
          </w:rPr>
          <w:t>Constituição Federal</w:t>
        </w:r>
      </w:hyperlink>
      <w:r w:rsidRPr="008F6225">
        <w:rPr>
          <w:rStyle w:val="apple-converted-space"/>
          <w:i/>
          <w:sz w:val="24"/>
        </w:rPr>
        <w:t> </w:t>
      </w:r>
      <w:r w:rsidRPr="008F6225">
        <w:rPr>
          <w:i/>
          <w:sz w:val="24"/>
        </w:rPr>
        <w:t xml:space="preserve">é norma de eficácia plena, cuja aplicabilidade não depende de lei estadual fixando o subsídio do Governador; (b) não há direito adquirido a recebimento de proventos acima do teto remuneratório constitucionalmente estabelecido; e </w:t>
      </w:r>
      <w:r w:rsidRPr="00347E1E">
        <w:rPr>
          <w:b/>
          <w:i/>
          <w:sz w:val="24"/>
          <w:u w:val="single"/>
        </w:rPr>
        <w:t>(c) as vantagens pessoais de qualquer espécie estão sujeitas ao teto remuneratório previsto no art.</w:t>
      </w:r>
      <w:r w:rsidRPr="00347E1E">
        <w:rPr>
          <w:rStyle w:val="apple-converted-space"/>
          <w:b/>
          <w:i/>
          <w:sz w:val="24"/>
          <w:u w:val="single"/>
        </w:rPr>
        <w:t> </w:t>
      </w:r>
      <w:hyperlink r:id="rId10" w:tooltip="Artigo 37 da Constituição Federal de 1988" w:history="1">
        <w:r w:rsidRPr="00347E1E">
          <w:rPr>
            <w:rStyle w:val="Hyperlink"/>
            <w:b/>
            <w:i/>
            <w:sz w:val="24"/>
            <w:bdr w:val="none" w:sz="0" w:space="0" w:color="auto" w:frame="1"/>
          </w:rPr>
          <w:t>37</w:t>
        </w:r>
      </w:hyperlink>
      <w:r w:rsidRPr="00347E1E">
        <w:rPr>
          <w:b/>
          <w:i/>
          <w:sz w:val="24"/>
          <w:u w:val="single"/>
        </w:rPr>
        <w:t>,</w:t>
      </w:r>
      <w:r w:rsidRPr="00347E1E">
        <w:rPr>
          <w:rStyle w:val="apple-converted-space"/>
          <w:b/>
          <w:i/>
          <w:sz w:val="24"/>
          <w:u w:val="single"/>
        </w:rPr>
        <w:t> </w:t>
      </w:r>
      <w:hyperlink r:id="rId11" w:tooltip="Inciso XI do Artigo 37 da Constituição Federal de 1988" w:history="1">
        <w:r w:rsidRPr="00347E1E">
          <w:rPr>
            <w:rStyle w:val="Hyperlink"/>
            <w:b/>
            <w:i/>
            <w:sz w:val="24"/>
            <w:bdr w:val="none" w:sz="0" w:space="0" w:color="auto" w:frame="1"/>
          </w:rPr>
          <w:t>XI</w:t>
        </w:r>
      </w:hyperlink>
      <w:r w:rsidRPr="00347E1E">
        <w:rPr>
          <w:b/>
          <w:i/>
          <w:sz w:val="24"/>
          <w:u w:val="single"/>
        </w:rPr>
        <w:t>, da</w:t>
      </w:r>
      <w:r w:rsidRPr="00347E1E">
        <w:rPr>
          <w:rStyle w:val="apple-converted-space"/>
          <w:b/>
          <w:i/>
          <w:sz w:val="24"/>
          <w:u w:val="single"/>
        </w:rPr>
        <w:t> </w:t>
      </w:r>
      <w:hyperlink r:id="rId12" w:tooltip="CONSTITUIÇÃO DA REPÚBLICA FEDERATIVA DO BRASIL DE 1988" w:history="1">
        <w:r w:rsidRPr="00347E1E">
          <w:rPr>
            <w:rStyle w:val="Hyperlink"/>
            <w:b/>
            <w:i/>
            <w:sz w:val="24"/>
            <w:bdr w:val="none" w:sz="0" w:space="0" w:color="auto" w:frame="1"/>
          </w:rPr>
          <w:t>Constituição Federal</w:t>
        </w:r>
      </w:hyperlink>
      <w:r w:rsidRPr="00347E1E">
        <w:rPr>
          <w:b/>
          <w:i/>
          <w:sz w:val="24"/>
          <w:u w:val="single"/>
        </w:rPr>
        <w:t>, na redação dada pela EC</w:t>
      </w:r>
      <w:r w:rsidRPr="00347E1E">
        <w:rPr>
          <w:rStyle w:val="apple-converted-space"/>
          <w:b/>
          <w:i/>
          <w:sz w:val="24"/>
          <w:u w:val="single"/>
        </w:rPr>
        <w:t> </w:t>
      </w:r>
      <w:hyperlink r:id="rId13" w:tooltip="Emenda Constitucional nº 41, de 19 de dezembro de 2003" w:history="1">
        <w:r w:rsidRPr="00347E1E">
          <w:rPr>
            <w:rStyle w:val="Hyperlink"/>
            <w:b/>
            <w:i/>
            <w:sz w:val="24"/>
            <w:bdr w:val="none" w:sz="0" w:space="0" w:color="auto" w:frame="1"/>
          </w:rPr>
          <w:t>41</w:t>
        </w:r>
      </w:hyperlink>
      <w:r w:rsidRPr="00347E1E">
        <w:rPr>
          <w:b/>
          <w:i/>
          <w:sz w:val="24"/>
          <w:u w:val="single"/>
        </w:rPr>
        <w:t>/2003.</w:t>
      </w:r>
    </w:p>
    <w:p w:rsidR="00347E1E" w:rsidRPr="008F6225" w:rsidRDefault="00347E1E" w:rsidP="00347E1E">
      <w:pPr>
        <w:pStyle w:val="NormalWeb"/>
        <w:shd w:val="clear" w:color="auto" w:fill="FFFFFF"/>
        <w:spacing w:before="150" w:beforeAutospacing="0" w:after="0" w:afterAutospacing="0" w:line="360" w:lineRule="auto"/>
        <w:ind w:left="2130" w:hanging="429"/>
        <w:jc w:val="both"/>
        <w:rPr>
          <w:i/>
          <w:sz w:val="24"/>
        </w:rPr>
      </w:pPr>
      <w:r w:rsidRPr="008F6225">
        <w:rPr>
          <w:i/>
          <w:sz w:val="24"/>
        </w:rPr>
        <w:t>2. Recurso ordinário a que se nega provimento.</w:t>
      </w:r>
    </w:p>
    <w:p w:rsidR="00347E1E" w:rsidRPr="008F6225" w:rsidRDefault="00347E1E" w:rsidP="00347E1E">
      <w:pPr>
        <w:pStyle w:val="NormalWeb"/>
        <w:shd w:val="clear" w:color="auto" w:fill="FFFFFF"/>
        <w:spacing w:before="165" w:beforeAutospacing="0" w:after="0" w:afterAutospacing="0" w:line="360" w:lineRule="auto"/>
        <w:ind w:left="2130" w:hanging="429"/>
        <w:jc w:val="both"/>
        <w:rPr>
          <w:i/>
          <w:sz w:val="24"/>
        </w:rPr>
      </w:pPr>
      <w:r w:rsidRPr="008F6225">
        <w:rPr>
          <w:i/>
          <w:sz w:val="24"/>
        </w:rPr>
        <w:t xml:space="preserve">(RMS 32.042/RJ, Rel. Ministro TEORI ALBINO ZAVASCKI, PRIMEIRA TURMA, </w:t>
      </w:r>
      <w:proofErr w:type="spellStart"/>
      <w:proofErr w:type="gramStart"/>
      <w:r w:rsidRPr="008F6225">
        <w:rPr>
          <w:i/>
          <w:sz w:val="24"/>
        </w:rPr>
        <w:t>DJe</w:t>
      </w:r>
      <w:proofErr w:type="spellEnd"/>
      <w:proofErr w:type="gramEnd"/>
      <w:r w:rsidRPr="008F6225">
        <w:rPr>
          <w:i/>
          <w:sz w:val="24"/>
        </w:rPr>
        <w:t xml:space="preserve"> 08/09/2011)</w:t>
      </w:r>
    </w:p>
    <w:p w:rsidR="00347E1E" w:rsidRDefault="00347E1E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3084F" w:rsidRDefault="0013084F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se tratando de quadro de pessoal, constatou-se alto índice percentual de ocupação de cargos em comissão (66,67%), o que fere entendimento já consolidado pela Suprema Corte. Vejamos:</w:t>
      </w:r>
    </w:p>
    <w:p w:rsidR="0013084F" w:rsidRDefault="0013084F" w:rsidP="0013084F">
      <w:pPr>
        <w:pStyle w:val="t1"/>
        <w:spacing w:line="360" w:lineRule="auto"/>
        <w:ind w:left="2835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“AGRAVO INTERNO. AÇÃO DIRETA DE INCONSTITUCIONALIDADE. ATO NORMATIVO MUNICIPAL. PRINCÍPIO DA PROPORCIONALIDADE. OFENSA. INCOMPATIBILIDADE ENTRE O NÚMERO DE SERVIDORES EFETIVOS E EM CARGOS EM COMISSÃO. I - Cabe ao Poder Judiciário verificar a regularidade dos atos normativos e de administração do Poder Público em relação às causas, aos motivos e à finalidade que os ensejam. II - Pelo princípio da proporcionalidade, há que ser guardada correlação entre o número de cargos efetivos e em comissão, de maneira que exista estrutura para atuação do Poder Legislativo local. III - Agravo improvido”.</w:t>
      </w:r>
    </w:p>
    <w:p w:rsidR="0013084F" w:rsidRDefault="0013084F" w:rsidP="0013084F">
      <w:pPr>
        <w:pStyle w:val="t1"/>
        <w:spacing w:line="360" w:lineRule="auto"/>
        <w:ind w:left="2835" w:firstLine="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Pr="001A7A39">
        <w:rPr>
          <w:rFonts w:ascii="Times New Roman" w:hAnsi="Times New Roman" w:cs="Times New Roman"/>
          <w:i w:val="0"/>
          <w:szCs w:val="24"/>
        </w:rPr>
        <w:t>(RE nº 365.368/S</w:t>
      </w:r>
      <w:r>
        <w:rPr>
          <w:rFonts w:ascii="Times New Roman" w:hAnsi="Times New Roman" w:cs="Times New Roman"/>
          <w:i w:val="0"/>
          <w:szCs w:val="24"/>
        </w:rPr>
        <w:t>C-</w:t>
      </w:r>
      <w:proofErr w:type="spellStart"/>
      <w:r>
        <w:rPr>
          <w:rFonts w:ascii="Times New Roman" w:hAnsi="Times New Roman" w:cs="Times New Roman"/>
          <w:i w:val="0"/>
          <w:szCs w:val="24"/>
        </w:rPr>
        <w:t>AgR</w:t>
      </w:r>
      <w:proofErr w:type="spellEnd"/>
      <w:r>
        <w:rPr>
          <w:rFonts w:ascii="Times New Roman" w:hAnsi="Times New Roman" w:cs="Times New Roman"/>
          <w:i w:val="0"/>
          <w:szCs w:val="24"/>
        </w:rPr>
        <w:t>, Primeira Turma, Relator</w:t>
      </w:r>
      <w:r w:rsidRPr="001A7A39">
        <w:rPr>
          <w:rFonts w:ascii="Times New Roman" w:hAnsi="Times New Roman" w:cs="Times New Roman"/>
          <w:i w:val="0"/>
          <w:szCs w:val="24"/>
        </w:rPr>
        <w:t xml:space="preserve"> Ministro Ricardo </w:t>
      </w:r>
      <w:proofErr w:type="spellStart"/>
      <w:r w:rsidRPr="001A7A39">
        <w:rPr>
          <w:rFonts w:ascii="Times New Roman" w:hAnsi="Times New Roman" w:cs="Times New Roman"/>
          <w:i w:val="0"/>
          <w:szCs w:val="24"/>
        </w:rPr>
        <w:t>Lewandowski</w:t>
      </w:r>
      <w:proofErr w:type="spellEnd"/>
      <w:r w:rsidRPr="001A7A39">
        <w:rPr>
          <w:rFonts w:ascii="Times New Roman" w:hAnsi="Times New Roman" w:cs="Times New Roman"/>
          <w:i w:val="0"/>
          <w:szCs w:val="24"/>
        </w:rPr>
        <w:t xml:space="preserve">, </w:t>
      </w:r>
      <w:proofErr w:type="spellStart"/>
      <w:proofErr w:type="gramStart"/>
      <w:r w:rsidRPr="001A7A39">
        <w:rPr>
          <w:rFonts w:ascii="Times New Roman" w:hAnsi="Times New Roman" w:cs="Times New Roman"/>
          <w:i w:val="0"/>
          <w:szCs w:val="24"/>
        </w:rPr>
        <w:t>DJe</w:t>
      </w:r>
      <w:proofErr w:type="spellEnd"/>
      <w:proofErr w:type="gramEnd"/>
      <w:r w:rsidRPr="001A7A39">
        <w:rPr>
          <w:rFonts w:ascii="Times New Roman" w:hAnsi="Times New Roman" w:cs="Times New Roman"/>
          <w:i w:val="0"/>
          <w:szCs w:val="24"/>
        </w:rPr>
        <w:t xml:space="preserve"> de  29/6/07).</w:t>
      </w:r>
    </w:p>
    <w:p w:rsidR="0013084F" w:rsidRDefault="0013084F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7E1E" w:rsidRDefault="009D4E5D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relação ao regime de adiantamentos para participação de vereadores no 58º Congresso Estadual de Municípios em Campos do Jordão, chama-nos atenção o histórico de despesas com mais de uma refeição, o que, a princípio</w:t>
      </w:r>
      <w:r w:rsidR="005D63CC">
        <w:rPr>
          <w:rFonts w:ascii="Times New Roman" w:hAnsi="Times New Roman"/>
          <w:sz w:val="24"/>
          <w:szCs w:val="24"/>
        </w:rPr>
        <w:t xml:space="preserve">, revela o possível custeio de gastos </w:t>
      </w:r>
      <w:proofErr w:type="gramStart"/>
      <w:r w:rsidR="005D63CC">
        <w:rPr>
          <w:rFonts w:ascii="Times New Roman" w:hAnsi="Times New Roman"/>
          <w:sz w:val="24"/>
          <w:szCs w:val="24"/>
        </w:rPr>
        <w:t>de</w:t>
      </w:r>
      <w:proofErr w:type="gramEnd"/>
      <w:r w:rsidR="005D63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D63CC">
        <w:rPr>
          <w:rFonts w:ascii="Times New Roman" w:hAnsi="Times New Roman"/>
          <w:sz w:val="24"/>
          <w:szCs w:val="24"/>
        </w:rPr>
        <w:t>pessoas</w:t>
      </w:r>
      <w:proofErr w:type="gramEnd"/>
      <w:r w:rsidR="005D63CC">
        <w:rPr>
          <w:rFonts w:ascii="Times New Roman" w:hAnsi="Times New Roman"/>
          <w:sz w:val="24"/>
          <w:szCs w:val="24"/>
        </w:rPr>
        <w:t xml:space="preserve"> não beneficiárias dos adiantamentos, em claro desrespeito aos Princípios da Economicidade e da Legitimidade.</w:t>
      </w:r>
    </w:p>
    <w:p w:rsidR="005D63CC" w:rsidRDefault="005D63CC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D63CC" w:rsidRPr="005D63CC" w:rsidRDefault="005D63CC" w:rsidP="005D63CC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Além disso, </w:t>
      </w:r>
      <w:r w:rsidRPr="005D63CC">
        <w:rPr>
          <w:rFonts w:ascii="Times New Roman" w:hAnsi="Times New Roman"/>
          <w:sz w:val="24"/>
          <w:szCs w:val="24"/>
        </w:rPr>
        <w:t>mostra-se desarrazoado o fato de que quase toda a Câmara ter se deslocado ao mesmo evento para um município do porte aqui tratado (11.543 habitantes) suspendendo, por esse período, suas regulares atividades</w:t>
      </w:r>
      <w:r>
        <w:rPr>
          <w:rFonts w:ascii="Times New Roman" w:hAnsi="Times New Roman"/>
          <w:sz w:val="24"/>
          <w:szCs w:val="24"/>
        </w:rPr>
        <w:t>.</w:t>
      </w:r>
      <w:r w:rsidRPr="005D6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5D63CC">
        <w:rPr>
          <w:rFonts w:ascii="Times New Roman" w:hAnsi="Times New Roman"/>
          <w:sz w:val="24"/>
          <w:szCs w:val="24"/>
        </w:rPr>
        <w:t xml:space="preserve">esse </w:t>
      </w:r>
      <w:r>
        <w:rPr>
          <w:rFonts w:ascii="Times New Roman" w:hAnsi="Times New Roman"/>
          <w:sz w:val="24"/>
          <w:szCs w:val="24"/>
        </w:rPr>
        <w:t>aspecto,</w:t>
      </w:r>
      <w:r w:rsidRPr="005D63CC">
        <w:rPr>
          <w:rFonts w:ascii="Times New Roman" w:hAnsi="Times New Roman"/>
          <w:sz w:val="24"/>
          <w:szCs w:val="24"/>
        </w:rPr>
        <w:t xml:space="preserve"> a Origem não conseguiu comprovar, por meio documental, o regular emprego do valor dispendido, nos termos do art. 93 do DL nº 200/67</w:t>
      </w:r>
      <w:r w:rsidRPr="005D63CC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ensejando </w:t>
      </w:r>
      <w:r w:rsidR="0026799C">
        <w:rPr>
          <w:rFonts w:ascii="Times New Roman" w:hAnsi="Times New Roman"/>
          <w:sz w:val="24"/>
          <w:szCs w:val="24"/>
        </w:rPr>
        <w:t xml:space="preserve">a devolução do montante dispendido, conforme determinação do Exmo. Conselheiro Edgard Camargo Rodrigues, por ocasião do exame das contas </w:t>
      </w:r>
      <w:proofErr w:type="spellStart"/>
      <w:r w:rsidR="0026799C">
        <w:rPr>
          <w:rFonts w:ascii="Times New Roman" w:hAnsi="Times New Roman"/>
          <w:sz w:val="24"/>
          <w:szCs w:val="24"/>
        </w:rPr>
        <w:t>dp</w:t>
      </w:r>
      <w:proofErr w:type="spellEnd"/>
      <w:r w:rsidR="0026799C">
        <w:rPr>
          <w:rFonts w:ascii="Times New Roman" w:hAnsi="Times New Roman"/>
          <w:sz w:val="24"/>
          <w:szCs w:val="24"/>
        </w:rPr>
        <w:t xml:space="preserve"> exercício de 2012 (TC 2659/026/12)</w:t>
      </w:r>
      <w:r w:rsidRPr="005D63CC">
        <w:rPr>
          <w:rFonts w:ascii="Times New Roman" w:hAnsi="Times New Roman"/>
          <w:sz w:val="24"/>
          <w:szCs w:val="24"/>
        </w:rPr>
        <w:t>.</w:t>
      </w:r>
    </w:p>
    <w:p w:rsidR="005D63CC" w:rsidRDefault="005D63CC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D4E5D" w:rsidRDefault="009D4E5D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Corroboram ainda mais para o julgamento de irregularidade da matéria os seguintes apontamentos:</w:t>
      </w:r>
    </w:p>
    <w:p w:rsidR="0026799C" w:rsidRDefault="0026799C" w:rsidP="00E162A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6799C" w:rsidRDefault="0026799C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>Item A.2</w:t>
      </w:r>
      <w:r w:rsidR="00E162AB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)</w:t>
      </w:r>
      <w:proofErr w:type="gramEnd"/>
      <w:r w:rsidR="00E162AB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 A Câmara 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possui um sistema de controle interno que não atinge o fim para o qual foi criado (fiscalizar todas as ações públicas com o intuito de identificar e coibir falhas capazes de ocasionar danos ao patrimônio público e à população em geral), em desrespeito ao artigo 74, II e IV da Constituição Federal.</w:t>
      </w:r>
    </w:p>
    <w:p w:rsidR="0026799C" w:rsidRDefault="0026799C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</w:p>
    <w:p w:rsidR="00991F66" w:rsidRDefault="00E162AB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  <w:proofErr w:type="gramStart"/>
      <w:r w:rsidRPr="00026A0A"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 xml:space="preserve">Item </w:t>
      </w:r>
      <w:r w:rsidR="00991F66"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>B.4.2.3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)</w:t>
      </w:r>
      <w:proofErr w:type="gramEnd"/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 O Legislativo </w:t>
      </w:r>
      <w:r w:rsidR="00991F66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ocal </w:t>
      </w:r>
      <w:r w:rsidR="00991F66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mantém ex-vereadores no plano de saúde do órgão, o que, a despeito de fazerem o devido recolhimento à Câmara, viola os Princípios da Impessoalidade e da Legalidade, eis que o término do mandato eletivo desvincula completamente o ex-agente político e o Poder Legislativo, como bem observou a fiscalização.</w:t>
      </w:r>
    </w:p>
    <w:p w:rsidR="0013084F" w:rsidRDefault="0013084F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</w:p>
    <w:p w:rsidR="00991F66" w:rsidRDefault="000F6B53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 xml:space="preserve">Itens C.1 e </w:t>
      </w:r>
      <w:proofErr w:type="gramStart"/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>D.</w:t>
      </w:r>
      <w:proofErr w:type="gramEnd"/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 xml:space="preserve">3) </w:t>
      </w:r>
      <w:r w:rsidRPr="000F6B53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A origem 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informa as despesas pelo sistema AUDESP de forma incongruente, de modo que a fidedignidade dos valores informados no uso de contratos, por exemplo, restam comprometidos.</w:t>
      </w:r>
    </w:p>
    <w:p w:rsidR="0013084F" w:rsidRDefault="0013084F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</w:pPr>
    </w:p>
    <w:p w:rsidR="00E162AB" w:rsidRDefault="0013084F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 xml:space="preserve">Item </w:t>
      </w:r>
      <w:proofErr w:type="gramStart"/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>d.</w:t>
      </w:r>
      <w:proofErr w:type="gramEnd"/>
      <w:r>
        <w:rPr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 xml:space="preserve">6) 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Inobservância, </w:t>
      </w:r>
      <w:r w:rsidR="00E162AB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de forma reiterada (nos termos das recomendações constantes no TC-2310/026/10 e TC-2968/026/11), </w:t>
      </w:r>
      <w:r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>d</w:t>
      </w:r>
      <w:r w:rsidR="00E162AB">
        <w:rPr>
          <w:rFonts w:ascii="Times New Roman" w:hAnsi="Times New Roman" w:cs="Times New Roman"/>
          <w:i w:val="0"/>
          <w:color w:val="000000"/>
          <w:szCs w:val="24"/>
          <w:shd w:val="clear" w:color="auto" w:fill="FFFFFF"/>
        </w:rPr>
        <w:t xml:space="preserve">as instruções e determinações desta Corte, mais especificamente quanto à remessa tempestiva de documentos ao Sistema AUDESP. Tal conduta prejudica o controle externo de competência constitucional deste E. Tribunal. </w:t>
      </w:r>
    </w:p>
    <w:p w:rsidR="00E162AB" w:rsidRDefault="00E162AB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szCs w:val="24"/>
        </w:rPr>
      </w:pPr>
    </w:p>
    <w:p w:rsidR="00E162AB" w:rsidRDefault="00E162AB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É nesse contexto de desajuste combinado com descumprimento de recomendações desta E. Corte que o </w:t>
      </w:r>
      <w:r w:rsidRPr="00151574">
        <w:rPr>
          <w:rFonts w:ascii="Times New Roman" w:hAnsi="Times New Roman" w:cs="Times New Roman"/>
          <w:szCs w:val="24"/>
        </w:rPr>
        <w:t>Parquet</w:t>
      </w:r>
      <w:r>
        <w:rPr>
          <w:rFonts w:ascii="Times New Roman" w:hAnsi="Times New Roman" w:cs="Times New Roman"/>
          <w:i w:val="0"/>
          <w:szCs w:val="24"/>
        </w:rPr>
        <w:t xml:space="preserve"> de Contas entende ser necessário um maior juízo de reprovação à gestão da Casa das Leis no presente exercício.</w:t>
      </w:r>
    </w:p>
    <w:p w:rsidR="00E162AB" w:rsidRDefault="00E162AB" w:rsidP="00E162AB">
      <w:pPr>
        <w:pStyle w:val="t1"/>
        <w:spacing w:line="360" w:lineRule="auto"/>
        <w:ind w:left="0" w:firstLine="1701"/>
        <w:rPr>
          <w:rFonts w:ascii="Times New Roman" w:hAnsi="Times New Roman" w:cs="Times New Roman"/>
          <w:i w:val="0"/>
          <w:szCs w:val="24"/>
        </w:rPr>
      </w:pPr>
    </w:p>
    <w:p w:rsidR="00E162AB" w:rsidRDefault="00E162AB" w:rsidP="00E162AB">
      <w:pPr>
        <w:pStyle w:val="t1"/>
        <w:spacing w:line="360" w:lineRule="auto"/>
        <w:ind w:left="0" w:firstLine="1701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 Em face do exposto, pugna este Órgão Ministerial pela </w:t>
      </w:r>
      <w:r w:rsidRPr="00DE5302">
        <w:rPr>
          <w:rFonts w:ascii="Times New Roman" w:hAnsi="Times New Roman" w:cs="Times New Roman"/>
          <w:b/>
          <w:i w:val="0"/>
          <w:szCs w:val="24"/>
          <w:u w:val="single"/>
        </w:rPr>
        <w:t>IRREGULARIDADE</w:t>
      </w:r>
      <w:r>
        <w:rPr>
          <w:rFonts w:ascii="Times New Roman" w:hAnsi="Times New Roman" w:cs="Times New Roman"/>
          <w:i w:val="0"/>
          <w:szCs w:val="24"/>
        </w:rPr>
        <w:t xml:space="preserve"> das contas da Câmara Municipal de Tabapuã no exerc</w:t>
      </w:r>
      <w:r w:rsidR="0013084F">
        <w:rPr>
          <w:rFonts w:ascii="Times New Roman" w:hAnsi="Times New Roman" w:cs="Times New Roman"/>
          <w:i w:val="0"/>
          <w:szCs w:val="24"/>
        </w:rPr>
        <w:t>ício de 2014</w:t>
      </w:r>
      <w:r>
        <w:rPr>
          <w:rFonts w:ascii="Times New Roman" w:hAnsi="Times New Roman" w:cs="Times New Roman"/>
          <w:i w:val="0"/>
          <w:szCs w:val="24"/>
        </w:rPr>
        <w:t xml:space="preserve">, </w:t>
      </w:r>
      <w:r w:rsidR="00E914AF">
        <w:rPr>
          <w:rFonts w:ascii="Times New Roman" w:hAnsi="Times New Roman" w:cs="Times New Roman"/>
          <w:i w:val="0"/>
          <w:szCs w:val="24"/>
        </w:rPr>
        <w:t xml:space="preserve">com a restituição ao erário do valor despendido no 58º Congresso Estadual de Municípios atualizada monetariamente, </w:t>
      </w:r>
      <w:r>
        <w:rPr>
          <w:rFonts w:ascii="Times New Roman" w:hAnsi="Times New Roman" w:cs="Times New Roman"/>
          <w:i w:val="0"/>
          <w:szCs w:val="24"/>
        </w:rPr>
        <w:t>sem prejuízo do pleito adicional de multa ao responsável, nos termos do art. 104, inciso II da LC nº 709/93</w:t>
      </w:r>
      <w:r w:rsidR="0013084F">
        <w:rPr>
          <w:rFonts w:ascii="Times New Roman" w:hAnsi="Times New Roman" w:cs="Times New Roman"/>
          <w:i w:val="0"/>
          <w:szCs w:val="24"/>
        </w:rPr>
        <w:t xml:space="preserve"> e d</w:t>
      </w:r>
      <w:r w:rsidR="00040D42">
        <w:rPr>
          <w:rFonts w:ascii="Times New Roman" w:hAnsi="Times New Roman"/>
          <w:i w:val="0"/>
          <w:szCs w:val="24"/>
        </w:rPr>
        <w:t>a remessa d</w:t>
      </w:r>
      <w:r w:rsidR="0013084F">
        <w:rPr>
          <w:rFonts w:ascii="Times New Roman" w:hAnsi="Times New Roman"/>
          <w:i w:val="0"/>
          <w:szCs w:val="24"/>
        </w:rPr>
        <w:t>e cópia</w:t>
      </w:r>
      <w:r w:rsidR="00E914AF">
        <w:rPr>
          <w:rFonts w:ascii="Times New Roman" w:hAnsi="Times New Roman"/>
          <w:i w:val="0"/>
          <w:szCs w:val="24"/>
        </w:rPr>
        <w:t>s</w:t>
      </w:r>
      <w:r w:rsidR="0013084F">
        <w:rPr>
          <w:rFonts w:ascii="Times New Roman" w:hAnsi="Times New Roman"/>
          <w:i w:val="0"/>
          <w:szCs w:val="24"/>
        </w:rPr>
        <w:t xml:space="preserve"> d</w:t>
      </w:r>
      <w:r w:rsidR="00040D42">
        <w:rPr>
          <w:rFonts w:ascii="Times New Roman" w:hAnsi="Times New Roman"/>
          <w:i w:val="0"/>
          <w:szCs w:val="24"/>
        </w:rPr>
        <w:t>os autos ao Ministério Público do Estado de São Paulo, para as providências que entender cabíveis no que diz respeito à promoção da responsabilidade civil, penal e administrativa dos responsáveis, dentro do seu campo de atuação.</w:t>
      </w:r>
    </w:p>
    <w:p w:rsidR="0013084F" w:rsidRPr="00EC7694" w:rsidRDefault="0013084F" w:rsidP="00E162AB">
      <w:pPr>
        <w:pStyle w:val="t1"/>
        <w:spacing w:line="360" w:lineRule="auto"/>
        <w:ind w:left="0" w:firstLine="1701"/>
        <w:rPr>
          <w:rFonts w:ascii="Times New Roman" w:hAnsi="Times New Roman"/>
          <w:i w:val="0"/>
          <w:szCs w:val="24"/>
        </w:rPr>
      </w:pPr>
    </w:p>
    <w:p w:rsidR="00E162AB" w:rsidRDefault="00E162AB" w:rsidP="00E162AB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parecer.</w:t>
      </w:r>
    </w:p>
    <w:p w:rsidR="00E162AB" w:rsidRDefault="00E162AB" w:rsidP="00E162AB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E162AB" w:rsidRDefault="00E162AB" w:rsidP="00E162AB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Paulo, </w:t>
      </w:r>
      <w:r w:rsidR="0013084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3084F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2016.</w:t>
      </w:r>
    </w:p>
    <w:p w:rsidR="0013084F" w:rsidRDefault="0013084F" w:rsidP="00E162AB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:rsidR="00E162AB" w:rsidRDefault="00E162AB" w:rsidP="00E162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ÉLIDA GRAZIANE PINTO</w:t>
      </w:r>
    </w:p>
    <w:p w:rsidR="00E162AB" w:rsidRDefault="00E162AB" w:rsidP="00E162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PROCURADORA DO MINISTÉRIO PÚBLICO DE CONTAS</w:t>
      </w:r>
    </w:p>
    <w:p w:rsidR="00E162AB" w:rsidRDefault="0013084F" w:rsidP="00E162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jsm</w:t>
      </w:r>
      <w:proofErr w:type="spellEnd"/>
    </w:p>
    <w:sectPr w:rsidR="00E162AB" w:rsidSect="008E5161">
      <w:headerReference w:type="default" r:id="rId14"/>
      <w:footerReference w:type="default" r:id="rId15"/>
      <w:pgSz w:w="11906" w:h="16838" w:code="9"/>
      <w:pgMar w:top="1701" w:right="1134" w:bottom="851" w:left="1701" w:header="425" w:footer="425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AB" w:rsidRDefault="00E162AB" w:rsidP="00E162AB">
      <w:pPr>
        <w:spacing w:after="0" w:line="240" w:lineRule="auto"/>
      </w:pPr>
      <w:r>
        <w:separator/>
      </w:r>
    </w:p>
  </w:endnote>
  <w:endnote w:type="continuationSeparator" w:id="0">
    <w:p w:rsidR="00E162AB" w:rsidRDefault="00E162AB" w:rsidP="00E1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46" w:rsidRPr="00A1499E" w:rsidRDefault="004200EB" w:rsidP="003802D5">
    <w:pPr>
      <w:pStyle w:val="Rodap"/>
      <w:pBdr>
        <w:top w:val="single" w:sz="4" w:space="1" w:color="auto"/>
      </w:pBdr>
      <w:spacing w:after="0" w:line="240" w:lineRule="auto"/>
      <w:jc w:val="center"/>
      <w:rPr>
        <w:rFonts w:ascii="Arial Narrow" w:hAnsi="Arial Narrow" w:cs="Arial"/>
        <w:color w:val="7F7F7F"/>
        <w:sz w:val="16"/>
        <w:szCs w:val="16"/>
      </w:rPr>
    </w:pPr>
    <w:r w:rsidRPr="00A1499E">
      <w:rPr>
        <w:rFonts w:ascii="Arial Narrow" w:hAnsi="Arial Narrow" w:cs="Arial"/>
        <w:color w:val="7F7F7F"/>
        <w:sz w:val="16"/>
        <w:szCs w:val="16"/>
      </w:rPr>
      <w:t>Av. Rangel</w:t>
    </w:r>
    <w:r w:rsidRPr="00A1499E">
      <w:rPr>
        <w:rFonts w:ascii="Arial Narrow" w:hAnsi="Arial Narrow" w:cs="Arial"/>
        <w:color w:val="7F7F7F"/>
        <w:sz w:val="16"/>
        <w:szCs w:val="16"/>
      </w:rPr>
      <w:t xml:space="preserve"> Pestana, 315 - São Paulo - SP - CEP 01017-</w:t>
    </w:r>
    <w:proofErr w:type="gramStart"/>
    <w:r w:rsidRPr="00A1499E">
      <w:rPr>
        <w:rFonts w:ascii="Arial Narrow" w:hAnsi="Arial Narrow" w:cs="Arial"/>
        <w:color w:val="7F7F7F"/>
        <w:sz w:val="16"/>
        <w:szCs w:val="16"/>
      </w:rPr>
      <w:t>906</w:t>
    </w:r>
    <w:proofErr w:type="gramEnd"/>
  </w:p>
  <w:p w:rsidR="00957446" w:rsidRPr="00A1499E" w:rsidRDefault="004200EB" w:rsidP="003802D5">
    <w:pPr>
      <w:pStyle w:val="Rodap"/>
      <w:pBdr>
        <w:top w:val="single" w:sz="4" w:space="1" w:color="auto"/>
      </w:pBdr>
      <w:spacing w:after="0" w:line="240" w:lineRule="auto"/>
      <w:jc w:val="center"/>
      <w:rPr>
        <w:rFonts w:ascii="Arial Narrow" w:hAnsi="Arial Narrow" w:cs="Arial"/>
        <w:color w:val="7F7F7F"/>
        <w:sz w:val="16"/>
        <w:szCs w:val="16"/>
      </w:rPr>
    </w:pPr>
    <w:r w:rsidRPr="00A1499E">
      <w:rPr>
        <w:rFonts w:ascii="Arial Narrow" w:hAnsi="Arial Narrow" w:cs="Arial"/>
        <w:color w:val="7F7F7F"/>
        <w:sz w:val="16"/>
        <w:szCs w:val="16"/>
      </w:rPr>
      <w:t>www.tce.sp.gov.br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AB" w:rsidRDefault="00E162AB" w:rsidP="00E162AB">
      <w:pPr>
        <w:spacing w:after="0" w:line="240" w:lineRule="auto"/>
      </w:pPr>
      <w:r>
        <w:separator/>
      </w:r>
    </w:p>
  </w:footnote>
  <w:footnote w:type="continuationSeparator" w:id="0">
    <w:p w:rsidR="00E162AB" w:rsidRDefault="00E162AB" w:rsidP="00E162AB">
      <w:pPr>
        <w:spacing w:after="0" w:line="240" w:lineRule="auto"/>
      </w:pPr>
      <w:r>
        <w:continuationSeparator/>
      </w:r>
    </w:p>
  </w:footnote>
  <w:footnote w:id="1">
    <w:p w:rsidR="005D63CC" w:rsidRPr="00827CCE" w:rsidRDefault="005D63CC" w:rsidP="005D63CC">
      <w:pPr>
        <w:pStyle w:val="Textodenotaderodap"/>
        <w:jc w:val="both"/>
        <w:rPr>
          <w:rFonts w:ascii="Times New Roman" w:hAnsi="Times New Roman"/>
        </w:rPr>
      </w:pPr>
      <w:r w:rsidRPr="00827CCE">
        <w:rPr>
          <w:rStyle w:val="Refdenotaderodap"/>
          <w:rFonts w:ascii="Times New Roman" w:hAnsi="Times New Roman"/>
        </w:rPr>
        <w:footnoteRef/>
      </w:r>
      <w:r w:rsidRPr="00827CCE">
        <w:rPr>
          <w:rFonts w:ascii="Times New Roman" w:hAnsi="Times New Roman"/>
        </w:rPr>
        <w:t xml:space="preserve"> </w:t>
      </w:r>
      <w:r w:rsidRPr="00827CCE">
        <w:rPr>
          <w:rFonts w:ascii="Times New Roman" w:hAnsi="Times New Roman"/>
          <w:color w:val="000000"/>
          <w:shd w:val="clear" w:color="auto" w:fill="FFFFFF"/>
        </w:rPr>
        <w:t>Art. 93. Quem quer que utilize dinheiros públicos terá de justificar seu bom e regular emprego na conformidade das leis, regulamentos e normas emanadas das autoridades administrativas competentes.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46" w:rsidRPr="00F4402F" w:rsidRDefault="004200EB" w:rsidP="003802D5">
    <w:pPr>
      <w:spacing w:after="0" w:line="240" w:lineRule="auto"/>
      <w:rPr>
        <w:color w:val="808080"/>
        <w:sz w:val="4"/>
      </w:rPr>
    </w:pPr>
    <w:r w:rsidRPr="008E5161">
      <w:rPr>
        <w:color w:val="808080"/>
        <w:sz w:val="4"/>
      </w:rPr>
      <w:fldChar w:fldCharType="begin"/>
    </w:r>
    <w:r w:rsidRPr="008E5161">
      <w:rPr>
        <w:color w:val="808080"/>
        <w:sz w:val="4"/>
      </w:rPr>
      <w:instrText>PAGE   \* MERGEFORMAT</w:instrText>
    </w:r>
    <w:r w:rsidRPr="008E5161">
      <w:rPr>
        <w:color w:val="808080"/>
        <w:sz w:val="4"/>
      </w:rPr>
      <w:fldChar w:fldCharType="separate"/>
    </w:r>
    <w:r>
      <w:rPr>
        <w:noProof/>
        <w:color w:val="808080"/>
        <w:sz w:val="4"/>
      </w:rPr>
      <w:t>4</w:t>
    </w:r>
    <w:r w:rsidRPr="008E5161">
      <w:rPr>
        <w:color w:val="808080"/>
        <w:sz w:val="4"/>
      </w:rPr>
      <w:fldChar w:fldCharType="end"/>
    </w:r>
  </w:p>
  <w:tbl>
    <w:tblPr>
      <w:tblW w:w="9298" w:type="dxa"/>
      <w:tblLook w:val="04A0" w:firstRow="1" w:lastRow="0" w:firstColumn="1" w:lastColumn="0" w:noHBand="0" w:noVBand="1"/>
    </w:tblPr>
    <w:tblGrid>
      <w:gridCol w:w="1559"/>
      <w:gridCol w:w="6180"/>
      <w:gridCol w:w="1559"/>
    </w:tblGrid>
    <w:tr w:rsidR="00957446" w:rsidRPr="00B2745A" w:rsidTr="00BF3B88">
      <w:trPr>
        <w:trHeight w:val="170"/>
      </w:trPr>
      <w:tc>
        <w:tcPr>
          <w:tcW w:w="1559" w:type="dxa"/>
          <w:vMerge w:val="restart"/>
          <w:vAlign w:val="center"/>
        </w:tcPr>
        <w:p w:rsidR="00957446" w:rsidRPr="00B2745A" w:rsidRDefault="00E162AB" w:rsidP="00BF3B88">
          <w:pPr>
            <w:tabs>
              <w:tab w:val="left" w:pos="788"/>
            </w:tabs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  <w:r>
            <w:rPr>
              <w:rFonts w:ascii="Arial Black" w:hAnsi="Arial Black"/>
              <w:b/>
              <w:noProof/>
              <w:color w:val="808080"/>
              <w:sz w:val="16"/>
            </w:rPr>
            <w:drawing>
              <wp:inline distT="0" distB="0" distL="0" distR="0" wp14:anchorId="44DB261C" wp14:editId="2651D7FD">
                <wp:extent cx="548640" cy="607060"/>
                <wp:effectExtent l="0" t="0" r="3810" b="254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7F7F7F"/>
              <w:spacing w:val="-20"/>
              <w:sz w:val="16"/>
            </w:rPr>
          </w:pPr>
          <w:r w:rsidRPr="00B2745A">
            <w:rPr>
              <w:rFonts w:ascii="Arial Black" w:hAnsi="Arial Black"/>
              <w:b/>
              <w:color w:val="7F7F7F"/>
              <w:spacing w:val="-20"/>
              <w:sz w:val="20"/>
              <w:szCs w:val="20"/>
            </w:rPr>
            <w:t>MINISTÉRIO PÚBLICO DE CONTAS</w:t>
          </w:r>
        </w:p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7F7F7F"/>
              <w:spacing w:val="20"/>
              <w:sz w:val="16"/>
            </w:rPr>
          </w:pPr>
          <w:r w:rsidRPr="00B2745A">
            <w:rPr>
              <w:rFonts w:ascii="Arial Black" w:hAnsi="Arial Black"/>
              <w:b/>
              <w:color w:val="7F7F7F"/>
              <w:spacing w:val="-20"/>
              <w:sz w:val="20"/>
              <w:szCs w:val="20"/>
            </w:rPr>
            <w:t>DO ESTADO DE SÃO PAULO</w:t>
          </w:r>
        </w:p>
      </w:tc>
      <w:tc>
        <w:tcPr>
          <w:tcW w:w="1559" w:type="dxa"/>
          <w:tcBorders>
            <w:bottom w:val="single" w:sz="4" w:space="0" w:color="595959"/>
          </w:tcBorders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595959"/>
              <w:sz w:val="16"/>
            </w:rPr>
          </w:pPr>
        </w:p>
      </w:tc>
    </w:tr>
    <w:tr w:rsidR="00957446" w:rsidRPr="00B2745A" w:rsidTr="00BF3B88">
      <w:trPr>
        <w:trHeight w:val="170"/>
      </w:trPr>
      <w:tc>
        <w:tcPr>
          <w:tcW w:w="1559" w:type="dxa"/>
          <w:vMerge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  <w:tc>
        <w:tcPr>
          <w:tcW w:w="6180" w:type="dxa"/>
          <w:vMerge/>
          <w:tcBorders>
            <w:right w:val="single" w:sz="4" w:space="0" w:color="595959"/>
          </w:tcBorders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7F7F7F"/>
              <w:spacing w:val="20"/>
              <w:sz w:val="16"/>
            </w:rPr>
          </w:pPr>
        </w:p>
      </w:tc>
      <w:tc>
        <w:tcPr>
          <w:tcW w:w="155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9907B3" w:rsidRPr="00925DC3" w:rsidRDefault="004200EB" w:rsidP="004200EB">
          <w:pPr>
            <w:spacing w:after="0" w:line="240" w:lineRule="auto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>
            <w:rPr>
              <w:rFonts w:ascii="Arial" w:hAnsi="Arial" w:cs="Arial"/>
              <w:color w:val="595959"/>
              <w:sz w:val="16"/>
              <w:szCs w:val="16"/>
            </w:rPr>
            <w:t>TC-</w:t>
          </w:r>
          <w:r>
            <w:rPr>
              <w:rFonts w:ascii="Arial" w:hAnsi="Arial" w:cs="Arial"/>
              <w:color w:val="59595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595959"/>
              <w:sz w:val="16"/>
              <w:szCs w:val="16"/>
            </w:rPr>
            <w:t>2961</w:t>
          </w:r>
          <w:r>
            <w:rPr>
              <w:rFonts w:ascii="Arial" w:hAnsi="Arial" w:cs="Arial"/>
              <w:color w:val="595959"/>
              <w:sz w:val="16"/>
              <w:szCs w:val="16"/>
            </w:rPr>
            <w:t>/026/1</w:t>
          </w:r>
          <w:r>
            <w:rPr>
              <w:rFonts w:ascii="Arial" w:hAnsi="Arial" w:cs="Arial"/>
              <w:color w:val="595959"/>
              <w:sz w:val="16"/>
              <w:szCs w:val="16"/>
            </w:rPr>
            <w:t>4</w:t>
          </w:r>
        </w:p>
      </w:tc>
    </w:tr>
    <w:tr w:rsidR="00957446" w:rsidRPr="00B2745A" w:rsidTr="00BF3B88">
      <w:trPr>
        <w:trHeight w:val="170"/>
      </w:trPr>
      <w:tc>
        <w:tcPr>
          <w:tcW w:w="1559" w:type="dxa"/>
          <w:vMerge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  <w:tc>
        <w:tcPr>
          <w:tcW w:w="6180" w:type="dxa"/>
          <w:vMerge/>
          <w:tcBorders>
            <w:right w:val="single" w:sz="4" w:space="0" w:color="595959"/>
          </w:tcBorders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  <w:tc>
        <w:tcPr>
          <w:tcW w:w="1559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4200EB" w:rsidRPr="0013773D" w:rsidRDefault="004200EB" w:rsidP="004200EB">
          <w:pPr>
            <w:spacing w:after="0" w:line="240" w:lineRule="auto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>
            <w:rPr>
              <w:rFonts w:ascii="Arial" w:hAnsi="Arial" w:cs="Arial"/>
              <w:color w:val="595959"/>
              <w:sz w:val="16"/>
              <w:szCs w:val="16"/>
            </w:rPr>
            <w:t xml:space="preserve">Fl. </w:t>
          </w:r>
          <w:r>
            <w:rPr>
              <w:rFonts w:ascii="Arial" w:hAnsi="Arial" w:cs="Arial"/>
              <w:color w:val="595959"/>
              <w:sz w:val="16"/>
              <w:szCs w:val="16"/>
            </w:rPr>
            <w:t>131</w:t>
          </w:r>
        </w:p>
      </w:tc>
    </w:tr>
    <w:tr w:rsidR="00957446" w:rsidRPr="00B2745A" w:rsidTr="00BF3B88">
      <w:trPr>
        <w:trHeight w:val="170"/>
      </w:trPr>
      <w:tc>
        <w:tcPr>
          <w:tcW w:w="1559" w:type="dxa"/>
          <w:vMerge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  <w:tc>
        <w:tcPr>
          <w:tcW w:w="6180" w:type="dxa"/>
          <w:vMerge/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  <w:tc>
        <w:tcPr>
          <w:tcW w:w="1559" w:type="dxa"/>
          <w:tcBorders>
            <w:top w:val="single" w:sz="4" w:space="0" w:color="595959"/>
          </w:tcBorders>
          <w:vAlign w:val="center"/>
        </w:tcPr>
        <w:p w:rsidR="00957446" w:rsidRPr="00B2745A" w:rsidRDefault="004200EB" w:rsidP="00BF3B88">
          <w:pPr>
            <w:spacing w:after="0" w:line="240" w:lineRule="auto"/>
            <w:jc w:val="center"/>
            <w:rPr>
              <w:rFonts w:ascii="Arial Black" w:hAnsi="Arial Black"/>
              <w:b/>
              <w:color w:val="808080"/>
              <w:sz w:val="16"/>
            </w:rPr>
          </w:pPr>
        </w:p>
      </w:tc>
    </w:tr>
  </w:tbl>
  <w:p w:rsidR="00957446" w:rsidRDefault="00E162AB" w:rsidP="00A1499E">
    <w:pPr>
      <w:spacing w:after="0" w:line="240" w:lineRule="auto"/>
      <w:jc w:val="center"/>
      <w:rPr>
        <w:rFonts w:ascii="Arial Black" w:hAnsi="Arial Black"/>
        <w:b/>
        <w:color w:val="808080"/>
        <w:sz w:val="16"/>
      </w:rPr>
    </w:pPr>
    <w:r>
      <w:rPr>
        <w:noProof/>
        <w:color w:val="808080"/>
        <w:sz w:val="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98EC0E" wp14:editId="46A4B824">
              <wp:simplePos x="0" y="0"/>
              <wp:positionH relativeFrom="page">
                <wp:posOffset>0</wp:posOffset>
              </wp:positionH>
              <wp:positionV relativeFrom="page">
                <wp:posOffset>5180965</wp:posOffset>
              </wp:positionV>
              <wp:extent cx="344805" cy="329565"/>
              <wp:effectExtent l="0" t="0" r="0" b="444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446" w:rsidRPr="00AD5FCE" w:rsidRDefault="004200EB" w:rsidP="00522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D5FCE">
                            <w:rPr>
                              <w:rFonts w:cs="Calibri"/>
                              <w:sz w:val="24"/>
                              <w:szCs w:val="24"/>
                            </w:rPr>
                            <w:t>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left:0;text-align:left;margin-left:0;margin-top:407.95pt;width:27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" o:allowincell="f" stroked="f">
              <v:textbox>
                <w:txbxContent>
                  <w:p w:rsidR="00957446" w:rsidRPr="00AD5FCE" w:rsidRDefault="004200EB" w:rsidP="00522AF4">
                    <w:pPr>
                      <w:rPr>
                        <w:sz w:val="24"/>
                        <w:szCs w:val="24"/>
                      </w:rPr>
                    </w:pPr>
                    <w:r w:rsidRPr="00AD5FCE">
                      <w:rPr>
                        <w:rFonts w:cs="Calibri"/>
                        <w:sz w:val="24"/>
                        <w:szCs w:val="24"/>
                      </w:rPr>
                      <w:t>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AB"/>
    <w:rsid w:val="00040D42"/>
    <w:rsid w:val="000F6B53"/>
    <w:rsid w:val="0013084F"/>
    <w:rsid w:val="0026799C"/>
    <w:rsid w:val="00347E1E"/>
    <w:rsid w:val="004200EB"/>
    <w:rsid w:val="005D63CC"/>
    <w:rsid w:val="00684FA9"/>
    <w:rsid w:val="00947E64"/>
    <w:rsid w:val="00991F66"/>
    <w:rsid w:val="009D4E5D"/>
    <w:rsid w:val="00B56C80"/>
    <w:rsid w:val="00E162AB"/>
    <w:rsid w:val="00E66C05"/>
    <w:rsid w:val="00E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A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162AB"/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E162AB"/>
    <w:rPr>
      <w:rFonts w:ascii="Calibri" w:eastAsia="Times New Roman" w:hAnsi="Calibri" w:cs="Times New Roman"/>
      <w:sz w:val="20"/>
      <w:lang w:eastAsia="pt-BR"/>
    </w:rPr>
  </w:style>
  <w:style w:type="paragraph" w:styleId="NormalWeb">
    <w:name w:val="Normal (Web)"/>
    <w:basedOn w:val="Normal"/>
    <w:uiPriority w:val="99"/>
    <w:unhideWhenUsed/>
    <w:rsid w:val="00E162A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notaderodap">
    <w:name w:val="footnote text"/>
    <w:aliases w:val="Char Char Char"/>
    <w:basedOn w:val="Normal"/>
    <w:link w:val="TextodenotaderodapChar"/>
    <w:uiPriority w:val="99"/>
    <w:unhideWhenUsed/>
    <w:rsid w:val="00E162AB"/>
    <w:rPr>
      <w:sz w:val="20"/>
      <w:szCs w:val="20"/>
    </w:rPr>
  </w:style>
  <w:style w:type="character" w:customStyle="1" w:styleId="TextodenotaderodapChar">
    <w:name w:val="Texto de nota de rodapé Char"/>
    <w:aliases w:val="Char Char Char Char"/>
    <w:basedOn w:val="Fontepargpadro"/>
    <w:link w:val="Textodenotaderodap"/>
    <w:uiPriority w:val="99"/>
    <w:rsid w:val="00E162A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qFormat/>
    <w:rsid w:val="00E162AB"/>
    <w:rPr>
      <w:vertAlign w:val="superscript"/>
    </w:rPr>
  </w:style>
  <w:style w:type="paragraph" w:customStyle="1" w:styleId="CorpodetextoMPC">
    <w:name w:val="Corpo de texto MPC"/>
    <w:link w:val="CorpodetextoMPCChar"/>
    <w:uiPriority w:val="1"/>
    <w:qFormat/>
    <w:locked/>
    <w:rsid w:val="00E162AB"/>
    <w:pPr>
      <w:spacing w:before="120" w:after="120" w:line="360" w:lineRule="auto"/>
      <w:ind w:firstLine="1134"/>
      <w:contextualSpacing/>
      <w:jc w:val="both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MPCChar">
    <w:name w:val="Corpo de texto MPC Char"/>
    <w:link w:val="CorpodetextoMPC"/>
    <w:uiPriority w:val="1"/>
    <w:rsid w:val="00E162AB"/>
    <w:rPr>
      <w:rFonts w:ascii="Arial" w:eastAsia="Times New Roman" w:hAnsi="Arial" w:cs="Times New Roman"/>
      <w:sz w:val="24"/>
      <w:lang w:val="en-US" w:eastAsia="pt-BR"/>
    </w:rPr>
  </w:style>
  <w:style w:type="character" w:customStyle="1" w:styleId="apple-converted-space">
    <w:name w:val="apple-converted-space"/>
    <w:rsid w:val="00E162AB"/>
  </w:style>
  <w:style w:type="character" w:customStyle="1" w:styleId="t1Char">
    <w:name w:val="t1 Char"/>
    <w:link w:val="t1"/>
    <w:uiPriority w:val="99"/>
    <w:locked/>
    <w:rsid w:val="00E162AB"/>
    <w:rPr>
      <w:rFonts w:ascii="Arial" w:hAnsi="Arial" w:cs="Arial"/>
      <w:i/>
      <w:sz w:val="24"/>
    </w:rPr>
  </w:style>
  <w:style w:type="paragraph" w:customStyle="1" w:styleId="t1">
    <w:name w:val="t1"/>
    <w:basedOn w:val="Normal"/>
    <w:link w:val="t1Char"/>
    <w:uiPriority w:val="99"/>
    <w:rsid w:val="00E162AB"/>
    <w:pPr>
      <w:overflowPunct w:val="0"/>
      <w:autoSpaceDE w:val="0"/>
      <w:autoSpaceDN w:val="0"/>
      <w:adjustRightInd w:val="0"/>
      <w:spacing w:after="0" w:line="240" w:lineRule="auto"/>
      <w:ind w:left="1559" w:firstLine="1559"/>
      <w:jc w:val="both"/>
    </w:pPr>
    <w:rPr>
      <w:rFonts w:ascii="Arial" w:eastAsiaTheme="minorHAnsi" w:hAnsi="Arial" w:cs="Arial"/>
      <w:i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2A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347E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0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0EB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A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162AB"/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E162AB"/>
    <w:rPr>
      <w:rFonts w:ascii="Calibri" w:eastAsia="Times New Roman" w:hAnsi="Calibri" w:cs="Times New Roman"/>
      <w:sz w:val="20"/>
      <w:lang w:eastAsia="pt-BR"/>
    </w:rPr>
  </w:style>
  <w:style w:type="paragraph" w:styleId="NormalWeb">
    <w:name w:val="Normal (Web)"/>
    <w:basedOn w:val="Normal"/>
    <w:uiPriority w:val="99"/>
    <w:unhideWhenUsed/>
    <w:rsid w:val="00E162A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notaderodap">
    <w:name w:val="footnote text"/>
    <w:aliases w:val="Char Char Char"/>
    <w:basedOn w:val="Normal"/>
    <w:link w:val="TextodenotaderodapChar"/>
    <w:uiPriority w:val="99"/>
    <w:unhideWhenUsed/>
    <w:rsid w:val="00E162AB"/>
    <w:rPr>
      <w:sz w:val="20"/>
      <w:szCs w:val="20"/>
    </w:rPr>
  </w:style>
  <w:style w:type="character" w:customStyle="1" w:styleId="TextodenotaderodapChar">
    <w:name w:val="Texto de nota de rodapé Char"/>
    <w:aliases w:val="Char Char Char Char"/>
    <w:basedOn w:val="Fontepargpadro"/>
    <w:link w:val="Textodenotaderodap"/>
    <w:uiPriority w:val="99"/>
    <w:rsid w:val="00E162A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qFormat/>
    <w:rsid w:val="00E162AB"/>
    <w:rPr>
      <w:vertAlign w:val="superscript"/>
    </w:rPr>
  </w:style>
  <w:style w:type="paragraph" w:customStyle="1" w:styleId="CorpodetextoMPC">
    <w:name w:val="Corpo de texto MPC"/>
    <w:link w:val="CorpodetextoMPCChar"/>
    <w:uiPriority w:val="1"/>
    <w:qFormat/>
    <w:locked/>
    <w:rsid w:val="00E162AB"/>
    <w:pPr>
      <w:spacing w:before="120" w:after="120" w:line="360" w:lineRule="auto"/>
      <w:ind w:firstLine="1134"/>
      <w:contextualSpacing/>
      <w:jc w:val="both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MPCChar">
    <w:name w:val="Corpo de texto MPC Char"/>
    <w:link w:val="CorpodetextoMPC"/>
    <w:uiPriority w:val="1"/>
    <w:rsid w:val="00E162AB"/>
    <w:rPr>
      <w:rFonts w:ascii="Arial" w:eastAsia="Times New Roman" w:hAnsi="Arial" w:cs="Times New Roman"/>
      <w:sz w:val="24"/>
      <w:lang w:val="en-US" w:eastAsia="pt-BR"/>
    </w:rPr>
  </w:style>
  <w:style w:type="character" w:customStyle="1" w:styleId="apple-converted-space">
    <w:name w:val="apple-converted-space"/>
    <w:rsid w:val="00E162AB"/>
  </w:style>
  <w:style w:type="character" w:customStyle="1" w:styleId="t1Char">
    <w:name w:val="t1 Char"/>
    <w:link w:val="t1"/>
    <w:uiPriority w:val="99"/>
    <w:locked/>
    <w:rsid w:val="00E162AB"/>
    <w:rPr>
      <w:rFonts w:ascii="Arial" w:hAnsi="Arial" w:cs="Arial"/>
      <w:i/>
      <w:sz w:val="24"/>
    </w:rPr>
  </w:style>
  <w:style w:type="paragraph" w:customStyle="1" w:styleId="t1">
    <w:name w:val="t1"/>
    <w:basedOn w:val="Normal"/>
    <w:link w:val="t1Char"/>
    <w:uiPriority w:val="99"/>
    <w:rsid w:val="00E162AB"/>
    <w:pPr>
      <w:overflowPunct w:val="0"/>
      <w:autoSpaceDE w:val="0"/>
      <w:autoSpaceDN w:val="0"/>
      <w:adjustRightInd w:val="0"/>
      <w:spacing w:after="0" w:line="240" w:lineRule="auto"/>
      <w:ind w:left="1559" w:firstLine="1559"/>
      <w:jc w:val="both"/>
    </w:pPr>
    <w:rPr>
      <w:rFonts w:ascii="Arial" w:eastAsiaTheme="minorHAnsi" w:hAnsi="Arial" w:cs="Arial"/>
      <w:i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2A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347E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0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0EB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186546/artigo-37-da-constitui%C3%A7%C3%A3o-federal-de-1988" TargetMode="External"/><Relationship Id="rId13" Type="http://schemas.openxmlformats.org/officeDocument/2006/relationships/hyperlink" Target="http://www.jusbrasil.com.br/legislacao/103864/emenda-constitucional-41-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711900/inciso-xi-do-artigo-37-da-constitui%C3%A7%C3%A3o-federal-de-1988" TargetMode="External"/><Relationship Id="rId12" Type="http://schemas.openxmlformats.org/officeDocument/2006/relationships/hyperlink" Target="http://www.jusbrasil.com.br/legislacao/131159349/constitui%C3%A7%C3%A3o-federal-constitui%C3%A7%C3%A3o-da-republica-federativa-do-brasil-198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usbrasil.com.br/topicos/10711900/inciso-xi-do-artigo-37-da-constitui%C3%A7%C3%A3o-federal-de-198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jusbrasil.com.br/topicos/2186546/artigo-37-da-constitui%C3%A7%C3%A3o-federal-de-1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legislacao/131159349/constitui%C3%A7%C3%A3o-federal-constitui%C3%A7%C3%A3o-da-republica-federativa-do-brasil-198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Sant'anna</dc:creator>
  <cp:lastModifiedBy>Jefferson Sant'anna</cp:lastModifiedBy>
  <cp:revision>4</cp:revision>
  <dcterms:created xsi:type="dcterms:W3CDTF">2016-08-19T17:23:00Z</dcterms:created>
  <dcterms:modified xsi:type="dcterms:W3CDTF">2016-08-19T19:14:00Z</dcterms:modified>
</cp:coreProperties>
</file>